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u w:val="single"/>
          <w:rtl w:val="0"/>
        </w:rPr>
        <w:t xml:space="preserve">Comisión de Procedimiento Tributario de la AAEF</w:t>
      </w:r>
      <w:r w:rsidDel="00000000" w:rsidR="00000000" w:rsidRPr="00000000">
        <w:rPr>
          <w:rtl w:val="0"/>
        </w:rPr>
      </w:r>
    </w:p>
    <w:p w:rsidR="00000000" w:rsidDel="00000000" w:rsidP="00000000" w:rsidRDefault="00000000" w:rsidRPr="00000000" w14:paraId="00000002">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3">
      <w:pPr>
        <w:spacing w:lin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u w:val="single"/>
          <w:rtl w:val="0"/>
        </w:rPr>
        <w:t xml:space="preserve">Reunión del miércoles 12 de agosto de 2026</w:t>
      </w:r>
      <w:r w:rsidDel="00000000" w:rsidR="00000000" w:rsidRPr="00000000">
        <w:rPr>
          <w:rtl w:val="0"/>
        </w:rPr>
      </w:r>
    </w:p>
    <w:p w:rsidR="00000000" w:rsidDel="00000000" w:rsidP="00000000" w:rsidRDefault="00000000" w:rsidRPr="00000000" w14:paraId="00000004">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5">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u w:val="single"/>
          <w:rtl w:val="0"/>
        </w:rPr>
        <w:t xml:space="preserve">Temario propuesto para la reunión</w:t>
      </w:r>
      <w:r w:rsidDel="00000000" w:rsidR="00000000" w:rsidRPr="00000000">
        <w:rPr>
          <w:rtl w:val="0"/>
        </w:rPr>
      </w:r>
    </w:p>
    <w:p w:rsidR="00000000" w:rsidDel="00000000" w:rsidP="00000000" w:rsidRDefault="00000000" w:rsidRPr="00000000" w14:paraId="00000006">
      <w:pPr>
        <w:spacing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sz w:val="24"/>
          <w:szCs w:val="24"/>
          <w:rtl w:val="0"/>
        </w:rPr>
        <w:br w:type="textWrapping"/>
        <w:br w:type="textWrapping"/>
      </w:r>
      <w:r w:rsidDel="00000000" w:rsidR="00000000" w:rsidRPr="00000000">
        <w:rPr>
          <w:rFonts w:ascii="Times New Roman" w:cs="Times New Roman" w:eastAsia="Times New Roman" w:hAnsi="Times New Roman"/>
          <w:b w:val="1"/>
          <w:bCs w:val="1"/>
          <w:i w:val="1"/>
          <w:iCs w:val="1"/>
          <w:sz w:val="24"/>
          <w:szCs w:val="24"/>
          <w:rtl w:val="0"/>
        </w:rPr>
        <w:t xml:space="preserve">1. Novedades normativas </w:t>
      </w:r>
      <w:r w:rsidDel="00000000" w:rsidR="00000000" w:rsidRPr="00000000">
        <w:rPr>
          <w:rtl w:val="0"/>
        </w:rPr>
      </w:r>
    </w:p>
    <w:p w:rsidR="00000000" w:rsidDel="00000000" w:rsidP="00000000" w:rsidRDefault="00000000" w:rsidRPr="00000000" w14:paraId="00000007">
      <w:pPr>
        <w:spacing w:line="240" w:lineRule="auto"/>
        <w:rPr>
          <w:rFonts w:ascii="Times New Roman" w:cs="Times New Roman" w:eastAsia="Times New Roman" w:hAnsi="Times New Roman"/>
          <w:b w:val="1"/>
          <w:bCs w:val="1"/>
          <w:i w:val="1"/>
          <w:iCs w:val="1"/>
          <w:sz w:val="24"/>
          <w:szCs w:val="24"/>
        </w:rPr>
      </w:pPr>
      <w:r w:rsidDel="00000000" w:rsidR="00000000" w:rsidRPr="00000000">
        <w:rPr>
          <w:rtl w:val="0"/>
        </w:rPr>
      </w:r>
    </w:p>
    <w:p w:rsidR="00000000" w:rsidDel="00000000" w:rsidP="00000000" w:rsidRDefault="00000000" w:rsidRPr="00000000" w14:paraId="00000008">
      <w:pPr>
        <w:spacing w:line="240" w:lineRule="auto"/>
        <w:ind w:firstLine="720"/>
        <w:jc w:val="both"/>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1.1. </w:t>
      </w:r>
      <w:r w:rsidDel="00000000" w:rsidR="00000000" w:rsidRPr="00000000">
        <w:rPr>
          <w:rFonts w:ascii="Times New Roman" w:cs="Times New Roman" w:eastAsia="Times New Roman" w:hAnsi="Times New Roman"/>
          <w:b w:val="1"/>
          <w:bCs w:val="1"/>
          <w:i w:val="1"/>
          <w:iCs w:val="1"/>
          <w:sz w:val="24"/>
          <w:szCs w:val="24"/>
          <w:rtl w:val="0"/>
        </w:rPr>
        <w:t xml:space="preserve">Acordada TSJ CABA 11/2026 (6/5/2026)</w:t>
      </w:r>
      <w:r w:rsidDel="00000000" w:rsidR="00000000" w:rsidRPr="00000000">
        <w:rPr>
          <w:rFonts w:ascii="Times New Roman" w:cs="Times New Roman" w:eastAsia="Times New Roman" w:hAnsi="Times New Roman"/>
          <w:i w:val="1"/>
          <w:iCs w:val="1"/>
          <w:sz w:val="24"/>
          <w:szCs w:val="24"/>
          <w:rtl w:val="0"/>
        </w:rPr>
        <w:t xml:space="preserve">. El Tribunal Superior de Justicia aprobó nuevos formularios estandarizados para la interposición de los recursos de inconstitucionalidad y de queja, con el objetivo de uniformar las presentaciones, agilizar el control de admisibilidad y optimizar la tramitación de las causas. La acordada responde al significativo incremento de expedientes derivado del precedente "Levinas" y de la Ley 27.802, delega en las Secretarías Judiciales el trámite de los expedientes hasta el llamado de autos y anticipa la futura incorporación de herramientas de inteligencia artificial en la gestión inicial de los procesos. Los formularios tendrán carácter orientativo durante los primeros seis meses y luego serán de utilización obligatoria.</w:t>
      </w:r>
    </w:p>
    <w:p w:rsidR="00000000" w:rsidDel="00000000" w:rsidP="00000000" w:rsidRDefault="00000000" w:rsidRPr="00000000" w14:paraId="00000009">
      <w:pPr>
        <w:spacing w:line="240" w:lineRule="auto"/>
        <w:ind w:firstLine="720"/>
        <w:jc w:val="both"/>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0A">
      <w:pPr>
        <w:spacing w:line="240" w:lineRule="auto"/>
        <w:ind w:firstLine="720"/>
        <w:jc w:val="both"/>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0B">
      <w:pPr>
        <w:spacing w:line="240" w:lineRule="auto"/>
        <w:ind w:firstLine="720"/>
        <w:jc w:val="both"/>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1.2.  Reflexiones sobre los efectos del cómputo de plazos en el marco de la Cooperación Tributaria Internacional. </w:t>
      </w:r>
      <w:r w:rsidDel="00000000" w:rsidR="00000000" w:rsidRPr="00000000">
        <w:rPr>
          <w:rFonts w:ascii="Times New Roman" w:cs="Times New Roman" w:eastAsia="Times New Roman" w:hAnsi="Times New Roman"/>
          <w:i w:val="1"/>
          <w:iCs w:val="1"/>
          <w:sz w:val="24"/>
          <w:szCs w:val="24"/>
          <w:rtl w:val="0"/>
        </w:rPr>
        <w:t xml:space="preserve">Desafíos para la armonización y facilitación de cooperación entre las administraciones tributarias.</w:t>
      </w:r>
    </w:p>
    <w:p w:rsidR="00000000" w:rsidDel="00000000" w:rsidP="00000000" w:rsidRDefault="00000000" w:rsidRPr="00000000" w14:paraId="0000000C">
      <w:pPr>
        <w:spacing w:line="240" w:lineRule="auto"/>
        <w:ind w:firstLine="720"/>
        <w:jc w:val="both"/>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0D">
      <w:pPr>
        <w:spacing w:line="240" w:lineRule="auto"/>
        <w:ind w:firstLine="720"/>
        <w:jc w:val="both"/>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Comentarios a cargo de Lucas Rebecchi</w:t>
      </w:r>
    </w:p>
    <w:p w:rsidR="00000000" w:rsidDel="00000000" w:rsidP="00000000" w:rsidRDefault="00000000" w:rsidRPr="00000000" w14:paraId="0000000E">
      <w:pPr>
        <w:spacing w:line="240" w:lineRule="auto"/>
        <w:ind w:firstLine="720"/>
        <w:jc w:val="both"/>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0F">
      <w:pPr>
        <w:spacing w:line="240" w:lineRule="auto"/>
        <w:ind w:firstLine="720"/>
        <w:jc w:val="both"/>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1.3.</w:t>
      </w:r>
      <w:r w:rsidDel="00000000" w:rsidR="00000000" w:rsidRPr="00000000">
        <w:rPr>
          <w:rFonts w:ascii="Times New Roman" w:cs="Times New Roman" w:eastAsia="Times New Roman" w:hAnsi="Times New Roman"/>
          <w:i w:val="1"/>
          <w:iCs w:val="1"/>
          <w:sz w:val="24"/>
          <w:szCs w:val="24"/>
          <w:rtl w:val="0"/>
        </w:rPr>
        <w:t xml:space="preserve"> </w:t>
      </w:r>
      <w:r w:rsidDel="00000000" w:rsidR="00000000" w:rsidRPr="00000000">
        <w:rPr>
          <w:rFonts w:ascii="Times New Roman" w:cs="Times New Roman" w:eastAsia="Times New Roman" w:hAnsi="Times New Roman"/>
          <w:b w:val="1"/>
          <w:bCs w:val="1"/>
          <w:i w:val="1"/>
          <w:iCs w:val="1"/>
          <w:sz w:val="24"/>
          <w:szCs w:val="24"/>
          <w:rtl w:val="0"/>
        </w:rPr>
        <w:t xml:space="preserve">Ley de Inocencia Fiscal 2</w:t>
      </w:r>
      <w:r w:rsidDel="00000000" w:rsidR="00000000" w:rsidRPr="00000000">
        <w:rPr>
          <w:rFonts w:ascii="Times New Roman" w:cs="Times New Roman" w:eastAsia="Times New Roman" w:hAnsi="Times New Roman"/>
          <w:i w:val="1"/>
          <w:iCs w:val="1"/>
          <w:sz w:val="24"/>
          <w:szCs w:val="24"/>
          <w:rtl w:val="0"/>
        </w:rPr>
        <w:t xml:space="preserve"> - Cuestiones de actualidad. Proyecto de Ley con modificaciones al régimen de Declaración Jurada Simplificada del Impuesto a las Ganancias (Ley 27.799)</w:t>
      </w:r>
    </w:p>
    <w:p w:rsidR="00000000" w:rsidDel="00000000" w:rsidP="00000000" w:rsidRDefault="00000000" w:rsidRPr="00000000" w14:paraId="00000010">
      <w:pPr>
        <w:spacing w:line="240" w:lineRule="auto"/>
        <w:ind w:firstLine="720"/>
        <w:jc w:val="both"/>
        <w:rPr>
          <w:rFonts w:ascii="Times New Roman" w:cs="Times New Roman" w:eastAsia="Times New Roman" w:hAnsi="Times New Roman"/>
          <w:i w:val="1"/>
          <w:iCs w:val="1"/>
          <w:color w:val="ff0000"/>
          <w:sz w:val="24"/>
          <w:szCs w:val="24"/>
        </w:rPr>
      </w:pPr>
      <w:r w:rsidDel="00000000" w:rsidR="00000000" w:rsidRPr="00000000">
        <w:rPr>
          <w:rtl w:val="0"/>
        </w:rPr>
      </w:r>
    </w:p>
    <w:p w:rsidR="00000000" w:rsidDel="00000000" w:rsidP="00000000" w:rsidRDefault="00000000" w:rsidRPr="00000000" w14:paraId="00000011">
      <w:pPr>
        <w:spacing w:line="240" w:lineRule="auto"/>
        <w:ind w:firstLine="720"/>
        <w:jc w:val="both"/>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Comentarios a cargo de Liban Kusa</w:t>
      </w:r>
    </w:p>
    <w:p w:rsidR="00000000" w:rsidDel="00000000" w:rsidP="00000000" w:rsidRDefault="00000000" w:rsidRPr="00000000" w14:paraId="00000012">
      <w:pPr>
        <w:spacing w:line="240" w:lineRule="auto"/>
        <w:ind w:firstLine="720"/>
        <w:jc w:val="both"/>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13">
      <w:pPr>
        <w:spacing w:line="240" w:lineRule="auto"/>
        <w:ind w:firstLine="720"/>
        <w:jc w:val="both"/>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14">
      <w:pPr>
        <w:spacing w:line="240" w:lineRule="auto"/>
        <w:ind w:firstLine="720"/>
        <w:jc w:val="both"/>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1.4.</w:t>
      </w:r>
      <w:r w:rsidDel="00000000" w:rsidR="00000000" w:rsidRPr="00000000">
        <w:rPr>
          <w:rFonts w:ascii="Times New Roman" w:cs="Times New Roman" w:eastAsia="Times New Roman" w:hAnsi="Times New Roman"/>
          <w:i w:val="1"/>
          <w:iCs w:val="1"/>
          <w:sz w:val="24"/>
          <w:szCs w:val="24"/>
          <w:rtl w:val="0"/>
        </w:rPr>
        <w:t xml:space="preserve"> </w:t>
      </w:r>
      <w:r w:rsidDel="00000000" w:rsidR="00000000" w:rsidRPr="00000000">
        <w:rPr>
          <w:rFonts w:ascii="Times New Roman" w:cs="Times New Roman" w:eastAsia="Times New Roman" w:hAnsi="Times New Roman"/>
          <w:b w:val="1"/>
          <w:bCs w:val="1"/>
          <w:i w:val="1"/>
          <w:iCs w:val="1"/>
          <w:sz w:val="24"/>
          <w:szCs w:val="24"/>
          <w:rtl w:val="0"/>
        </w:rPr>
        <w:t xml:space="preserve">Ley de Inocencia Fiscal - Comunicado ARCA de fecha 26/06/2026</w:t>
      </w:r>
      <w:r w:rsidDel="00000000" w:rsidR="00000000" w:rsidRPr="00000000">
        <w:rPr>
          <w:rFonts w:ascii="Times New Roman" w:cs="Times New Roman" w:eastAsia="Times New Roman" w:hAnsi="Times New Roman"/>
          <w:i w:val="1"/>
          <w:iCs w:val="1"/>
          <w:sz w:val="24"/>
          <w:szCs w:val="24"/>
          <w:rtl w:val="0"/>
        </w:rPr>
        <w:t xml:space="preserve"> -  Pautas de transición - Proyecto de modificación a Ley 27.799</w:t>
      </w:r>
    </w:p>
    <w:p w:rsidR="00000000" w:rsidDel="00000000" w:rsidP="00000000" w:rsidRDefault="00000000" w:rsidRPr="00000000" w14:paraId="00000015">
      <w:pPr>
        <w:spacing w:line="240" w:lineRule="auto"/>
        <w:ind w:firstLine="720"/>
        <w:jc w:val="both"/>
        <w:rPr>
          <w:rFonts w:ascii="Times New Roman" w:cs="Times New Roman" w:eastAsia="Times New Roman" w:hAnsi="Times New Roman"/>
          <w:i w:val="1"/>
          <w:iCs w:val="1"/>
          <w:color w:val="ff0000"/>
          <w:sz w:val="24"/>
          <w:szCs w:val="24"/>
        </w:rPr>
      </w:pPr>
      <w:r w:rsidDel="00000000" w:rsidR="00000000" w:rsidRPr="00000000">
        <w:rPr>
          <w:rtl w:val="0"/>
        </w:rPr>
      </w:r>
    </w:p>
    <w:p w:rsidR="00000000" w:rsidDel="00000000" w:rsidP="00000000" w:rsidRDefault="00000000" w:rsidRPr="00000000" w14:paraId="00000016">
      <w:pPr>
        <w:spacing w:line="240" w:lineRule="auto"/>
        <w:ind w:firstLine="720"/>
        <w:jc w:val="both"/>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Comentarios a cargo de la Comisión</w:t>
      </w:r>
    </w:p>
    <w:p w:rsidR="00000000" w:rsidDel="00000000" w:rsidP="00000000" w:rsidRDefault="00000000" w:rsidRPr="00000000" w14:paraId="00000017">
      <w:pPr>
        <w:spacing w:line="240" w:lineRule="auto"/>
        <w:ind w:firstLine="720"/>
        <w:jc w:val="both"/>
        <w:rPr>
          <w:rFonts w:ascii="Times New Roman" w:cs="Times New Roman" w:eastAsia="Times New Roman" w:hAnsi="Times New Roman"/>
          <w:i w:val="1"/>
          <w:iCs w:val="1"/>
          <w:sz w:val="24"/>
          <w:szCs w:val="24"/>
          <w:highlight w:val="yellow"/>
        </w:rPr>
      </w:pPr>
      <w:r w:rsidDel="00000000" w:rsidR="00000000" w:rsidRPr="00000000">
        <w:rPr>
          <w:rtl w:val="0"/>
        </w:rPr>
      </w:r>
    </w:p>
    <w:p w:rsidR="00000000" w:rsidDel="00000000" w:rsidP="00000000" w:rsidRDefault="00000000" w:rsidRPr="00000000" w14:paraId="00000018">
      <w:pPr>
        <w:spacing w:line="240" w:lineRule="auto"/>
        <w:ind w:left="0" w:firstLine="0"/>
        <w:jc w:val="both"/>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19">
      <w:pPr>
        <w:spacing w:line="240" w:lineRule="auto"/>
        <w:ind w:firstLine="720"/>
        <w:jc w:val="both"/>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1A">
      <w:pPr>
        <w:spacing w:line="240" w:lineRule="auto"/>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1B">
      <w:pPr>
        <w:spacing w:line="240" w:lineRule="auto"/>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2. Novedades jurisprudenciales </w:t>
      </w:r>
    </w:p>
    <w:p w:rsidR="00000000" w:rsidDel="00000000" w:rsidP="00000000" w:rsidRDefault="00000000" w:rsidRPr="00000000" w14:paraId="0000001C">
      <w:pPr>
        <w:spacing w:line="240" w:lineRule="auto"/>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1D">
      <w:pPr>
        <w:spacing w:line="240" w:lineRule="auto"/>
        <w:ind w:firstLine="425"/>
        <w:jc w:val="both"/>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2.1. “Acción declarativa. Competencia territorial en acciones contra actos generales del Poder Ejecutivo en materia tributaria”</w:t>
      </w:r>
      <w:r w:rsidDel="00000000" w:rsidR="00000000" w:rsidRPr="00000000">
        <w:rPr>
          <w:rFonts w:ascii="Times New Roman" w:cs="Times New Roman" w:eastAsia="Times New Roman" w:hAnsi="Times New Roman"/>
          <w:i w:val="1"/>
          <w:iCs w:val="1"/>
          <w:sz w:val="24"/>
          <w:szCs w:val="24"/>
          <w:rtl w:val="0"/>
        </w:rPr>
        <w:t xml:space="preserve"> CSJN, 7/7/2026, “Recurso de hecho deducido por la parte demandada en la causa EN- M° Economía y otro c/ Bunge Argentina SA s/ inhibitoria”: La Corte Suprema resolvió que, cuando se promueve una acción declarativa de certeza para cuestionar la validez de un decreto nacional en materia tributaria, resulta competente la justicia federal con asiento en la provincia donde debe cumplirse la obligación, coincidente con el domicilio fiscal del actor. De este modo, rechazó la inhibitoria promovida para radicar la causa en la Ciudad Autónoma de Buenos Aires y reafirmó la competencia de los tribunales federales del interior en este tipo de controversias.</w:t>
      </w:r>
    </w:p>
    <w:p w:rsidR="00000000" w:rsidDel="00000000" w:rsidP="00000000" w:rsidRDefault="00000000" w:rsidRPr="00000000" w14:paraId="0000001E">
      <w:pPr>
        <w:spacing w:line="240" w:lineRule="auto"/>
        <w:ind w:left="720" w:firstLine="0"/>
        <w:jc w:val="both"/>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1F">
      <w:pPr>
        <w:spacing w:line="240" w:lineRule="auto"/>
        <w:ind w:left="720" w:firstLine="0"/>
        <w:jc w:val="both"/>
        <w:rPr>
          <w:rFonts w:ascii="Times New Roman" w:cs="Times New Roman" w:eastAsia="Times New Roman" w:hAnsi="Times New Roman"/>
          <w:i w:val="1"/>
          <w:iCs w:val="1"/>
          <w:color w:val="ff0000"/>
          <w:sz w:val="24"/>
          <w:szCs w:val="24"/>
        </w:rPr>
      </w:pPr>
      <w:r w:rsidDel="00000000" w:rsidR="00000000" w:rsidRPr="00000000">
        <w:rPr>
          <w:rFonts w:ascii="Times New Roman" w:cs="Times New Roman" w:eastAsia="Times New Roman" w:hAnsi="Times New Roman"/>
          <w:i w:val="1"/>
          <w:iCs w:val="1"/>
          <w:sz w:val="24"/>
          <w:szCs w:val="24"/>
          <w:rtl w:val="0"/>
        </w:rPr>
        <w:t xml:space="preserve">Comentario a cargo de Irina Mizrahi </w:t>
      </w:r>
      <w:r w:rsidDel="00000000" w:rsidR="00000000" w:rsidRPr="00000000">
        <w:rPr>
          <w:rtl w:val="0"/>
        </w:rPr>
      </w:r>
    </w:p>
    <w:p w:rsidR="00000000" w:rsidDel="00000000" w:rsidP="00000000" w:rsidRDefault="00000000" w:rsidRPr="00000000" w14:paraId="00000020">
      <w:pPr>
        <w:spacing w:line="240" w:lineRule="auto"/>
        <w:ind w:firstLine="425"/>
        <w:jc w:val="both"/>
        <w:rPr>
          <w:rFonts w:ascii="Times New Roman" w:cs="Times New Roman" w:eastAsia="Times New Roman" w:hAnsi="Times New Roman"/>
          <w:b w:val="1"/>
          <w:bCs w:val="1"/>
          <w:i w:val="1"/>
          <w:iCs w:val="1"/>
          <w:color w:val="ff0000"/>
          <w:sz w:val="24"/>
          <w:szCs w:val="24"/>
        </w:rPr>
      </w:pPr>
      <w:r w:rsidDel="00000000" w:rsidR="00000000" w:rsidRPr="00000000">
        <w:rPr>
          <w:rtl w:val="0"/>
        </w:rPr>
      </w:r>
    </w:p>
    <w:p w:rsidR="00000000" w:rsidDel="00000000" w:rsidP="00000000" w:rsidRDefault="00000000" w:rsidRPr="00000000" w14:paraId="00000021">
      <w:pPr>
        <w:spacing w:line="240" w:lineRule="auto"/>
        <w:ind w:firstLine="425"/>
        <w:jc w:val="both"/>
        <w:rPr>
          <w:rFonts w:ascii="Times New Roman" w:cs="Times New Roman" w:eastAsia="Times New Roman" w:hAnsi="Times New Roman"/>
          <w:color w:val="1d1d1d"/>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2.2.</w:t>
      </w:r>
      <w:r w:rsidDel="00000000" w:rsidR="00000000" w:rsidRPr="00000000">
        <w:rPr>
          <w:rFonts w:ascii="Times New Roman" w:cs="Times New Roman" w:eastAsia="Times New Roman" w:hAnsi="Times New Roman"/>
          <w:b w:val="1"/>
          <w:bCs w:val="1"/>
          <w:i w:val="1"/>
          <w:iCs w:val="1"/>
          <w:color w:val="ff0000"/>
          <w:sz w:val="24"/>
          <w:szCs w:val="24"/>
          <w:rtl w:val="0"/>
        </w:rPr>
        <w:t xml:space="preserve"> </w:t>
      </w:r>
      <w:r w:rsidDel="00000000" w:rsidR="00000000" w:rsidRPr="00000000">
        <w:rPr>
          <w:rFonts w:ascii="Times New Roman" w:cs="Times New Roman" w:eastAsia="Times New Roman" w:hAnsi="Times New Roman"/>
          <w:b w:val="1"/>
          <w:bCs w:val="1"/>
          <w:i w:val="1"/>
          <w:iCs w:val="1"/>
          <w:sz w:val="24"/>
          <w:szCs w:val="24"/>
          <w:rtl w:val="0"/>
        </w:rPr>
        <w:t xml:space="preserve">“AFIP c/ Grupo Itanlea S.A. s/ ejecución fiscal – A.F.I.P.”.</w:t>
      </w:r>
      <w:r w:rsidDel="00000000" w:rsidR="00000000" w:rsidRPr="00000000">
        <w:rPr>
          <w:rFonts w:ascii="Times New Roman" w:cs="Times New Roman" w:eastAsia="Times New Roman" w:hAnsi="Times New Roman"/>
          <w:i w:val="1"/>
          <w:iCs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CSJN 10/7/25 </w:t>
      </w:r>
      <w:r w:rsidDel="00000000" w:rsidR="00000000" w:rsidRPr="00000000">
        <w:rPr>
          <w:rFonts w:ascii="Times New Roman" w:cs="Times New Roman" w:eastAsia="Times New Roman" w:hAnsi="Times New Roman"/>
          <w:color w:val="1d1d1d"/>
          <w:sz w:val="24"/>
          <w:szCs w:val="24"/>
          <w:rtl w:val="0"/>
        </w:rPr>
        <w:t xml:space="preserve">Flexibilización del criterio tradicional sobre la excepción de pago documentado prevista en el artículo 92 de la Ley 11.683. Consecuencias que proyecta sobre la cuestión de los honorarios de los agentes fiscales.</w:t>
      </w:r>
    </w:p>
    <w:p w:rsidR="00000000" w:rsidDel="00000000" w:rsidP="00000000" w:rsidRDefault="00000000" w:rsidRPr="00000000" w14:paraId="00000022">
      <w:pPr>
        <w:spacing w:line="240" w:lineRule="auto"/>
        <w:ind w:firstLine="425"/>
        <w:jc w:val="both"/>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23">
      <w:pPr>
        <w:spacing w:line="240" w:lineRule="auto"/>
        <w:ind w:firstLine="425"/>
        <w:jc w:val="both"/>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Comentario: Ruben Adrian Jogodnik</w:t>
      </w:r>
    </w:p>
    <w:p w:rsidR="00000000" w:rsidDel="00000000" w:rsidP="00000000" w:rsidRDefault="00000000" w:rsidRPr="00000000" w14:paraId="00000024">
      <w:pPr>
        <w:spacing w:line="240" w:lineRule="auto"/>
        <w:ind w:firstLine="425"/>
        <w:jc w:val="both"/>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25">
      <w:pPr>
        <w:spacing w:line="240" w:lineRule="auto"/>
        <w:ind w:firstLine="425"/>
        <w:jc w:val="both"/>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2.3. Finansur S.A. TFN. Sala D. 22/05/2026. Apropiación sin respaldo. El crédito fiscal en el IVA y el costo probatorio.</w:t>
      </w:r>
      <w:r w:rsidDel="00000000" w:rsidR="00000000" w:rsidRPr="00000000">
        <w:rPr>
          <w:rFonts w:ascii="Times New Roman" w:cs="Times New Roman" w:eastAsia="Times New Roman" w:hAnsi="Times New Roman"/>
          <w:i w:val="1"/>
          <w:iCs w:val="1"/>
          <w:sz w:val="24"/>
          <w:szCs w:val="24"/>
          <w:rtl w:val="0"/>
        </w:rPr>
        <w:t xml:space="preserve"> Oportunidad procesal de la prueba, momento de exhibición de la documentación. Recaudos a adoptar a los fines de justificar el criterio tributario adoptado.</w:t>
      </w:r>
    </w:p>
    <w:p w:rsidR="00000000" w:rsidDel="00000000" w:rsidP="00000000" w:rsidRDefault="00000000" w:rsidRPr="00000000" w14:paraId="00000026">
      <w:pPr>
        <w:spacing w:line="240" w:lineRule="auto"/>
        <w:ind w:firstLine="425"/>
        <w:jc w:val="both"/>
        <w:rPr>
          <w:rFonts w:ascii="Times New Roman" w:cs="Times New Roman" w:eastAsia="Times New Roman" w:hAnsi="Times New Roman"/>
          <w:b w:val="1"/>
          <w:bCs w:val="1"/>
          <w:i w:val="1"/>
          <w:iCs w:val="1"/>
          <w:sz w:val="24"/>
          <w:szCs w:val="24"/>
        </w:rPr>
      </w:pPr>
      <w:r w:rsidDel="00000000" w:rsidR="00000000" w:rsidRPr="00000000">
        <w:rPr>
          <w:rtl w:val="0"/>
        </w:rPr>
      </w:r>
    </w:p>
    <w:p w:rsidR="00000000" w:rsidDel="00000000" w:rsidP="00000000" w:rsidRDefault="00000000" w:rsidRPr="00000000" w14:paraId="00000027">
      <w:pPr>
        <w:spacing w:line="240" w:lineRule="auto"/>
        <w:ind w:firstLine="425"/>
        <w:jc w:val="both"/>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2.4. Open Price SRL c/ ARCA (CCAF - 18/12/2025) - Categorización SIPER.</w:t>
      </w:r>
    </w:p>
    <w:p w:rsidR="00000000" w:rsidDel="00000000" w:rsidP="00000000" w:rsidRDefault="00000000" w:rsidRPr="00000000" w14:paraId="00000028">
      <w:pPr>
        <w:spacing w:line="240" w:lineRule="auto"/>
        <w:ind w:firstLine="425"/>
        <w:jc w:val="both"/>
        <w:rPr>
          <w:rFonts w:ascii="Times New Roman" w:cs="Times New Roman" w:eastAsia="Times New Roman" w:hAnsi="Times New Roman"/>
          <w:b w:val="1"/>
          <w:bCs w:val="1"/>
          <w:i w:val="1"/>
          <w:iCs w:val="1"/>
          <w:sz w:val="24"/>
          <w:szCs w:val="24"/>
        </w:rPr>
      </w:pPr>
      <w:r w:rsidDel="00000000" w:rsidR="00000000" w:rsidRPr="00000000">
        <w:rPr>
          <w:rtl w:val="0"/>
        </w:rPr>
      </w:r>
    </w:p>
    <w:p w:rsidR="00000000" w:rsidDel="00000000" w:rsidP="00000000" w:rsidRDefault="00000000" w:rsidRPr="00000000" w14:paraId="00000029">
      <w:pPr>
        <w:spacing w:line="240" w:lineRule="auto"/>
        <w:ind w:firstLine="425"/>
        <w:jc w:val="both"/>
        <w:rPr>
          <w:rFonts w:ascii="Times New Roman" w:cs="Times New Roman" w:eastAsia="Times New Roman" w:hAnsi="Times New Roman"/>
          <w:b w:val="1"/>
          <w:bCs w:val="1"/>
          <w:i w:val="1"/>
          <w:iCs w:val="1"/>
          <w:sz w:val="24"/>
          <w:szCs w:val="24"/>
        </w:rPr>
      </w:pPr>
      <w:r w:rsidDel="00000000" w:rsidR="00000000" w:rsidRPr="00000000">
        <w:rPr>
          <w:rtl w:val="0"/>
        </w:rPr>
      </w:r>
    </w:p>
    <w:p w:rsidR="00000000" w:rsidDel="00000000" w:rsidP="00000000" w:rsidRDefault="00000000" w:rsidRPr="00000000" w14:paraId="0000002A">
      <w:pPr>
        <w:spacing w:line="240" w:lineRule="auto"/>
        <w:ind w:firstLine="425"/>
        <w:jc w:val="both"/>
        <w:rPr>
          <w:rFonts w:ascii="Times New Roman" w:cs="Times New Roman" w:eastAsia="Times New Roman" w:hAnsi="Times New Roman"/>
          <w:b w:val="1"/>
          <w:bCs w:val="1"/>
          <w:i w:val="1"/>
          <w:iCs w:val="1"/>
          <w:sz w:val="24"/>
          <w:szCs w:val="24"/>
        </w:rPr>
      </w:pPr>
      <w:r w:rsidDel="00000000" w:rsidR="00000000" w:rsidRPr="00000000">
        <w:rPr>
          <w:rtl w:val="0"/>
        </w:rPr>
      </w:r>
    </w:p>
    <w:p w:rsidR="00000000" w:rsidDel="00000000" w:rsidP="00000000" w:rsidRDefault="00000000" w:rsidRPr="00000000" w14:paraId="0000002B">
      <w:pPr>
        <w:spacing w:line="240" w:lineRule="auto"/>
        <w:ind w:firstLine="425"/>
        <w:jc w:val="both"/>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2.5. CITRUSVIL SA C/ DGI (CCAF - 19/05/2025) - Determinaciones de oficio non bis in idem</w:t>
      </w:r>
    </w:p>
    <w:p w:rsidR="00000000" w:rsidDel="00000000" w:rsidP="00000000" w:rsidRDefault="00000000" w:rsidRPr="00000000" w14:paraId="0000002C">
      <w:pPr>
        <w:spacing w:line="240" w:lineRule="auto"/>
        <w:ind w:firstLine="425"/>
        <w:jc w:val="both"/>
        <w:rPr>
          <w:rFonts w:ascii="Times New Roman" w:cs="Times New Roman" w:eastAsia="Times New Roman" w:hAnsi="Times New Roman"/>
          <w:b w:val="1"/>
          <w:bCs w:val="1"/>
          <w:i w:val="1"/>
          <w:iCs w:val="1"/>
          <w:sz w:val="24"/>
          <w:szCs w:val="24"/>
        </w:rPr>
      </w:pPr>
      <w:r w:rsidDel="00000000" w:rsidR="00000000" w:rsidRPr="00000000">
        <w:rPr>
          <w:rtl w:val="0"/>
        </w:rPr>
      </w:r>
    </w:p>
    <w:p w:rsidR="00000000" w:rsidDel="00000000" w:rsidP="00000000" w:rsidRDefault="00000000" w:rsidRPr="00000000" w14:paraId="0000002D">
      <w:pPr>
        <w:spacing w:line="240" w:lineRule="auto"/>
        <w:ind w:firstLine="425"/>
        <w:jc w:val="both"/>
        <w:rPr>
          <w:rFonts w:ascii="Times New Roman" w:cs="Times New Roman" w:eastAsia="Times New Roman" w:hAnsi="Times New Roman"/>
          <w:b w:val="1"/>
          <w:bCs w:val="1"/>
          <w:i w:val="1"/>
          <w:iCs w:val="1"/>
          <w:color w:val="ff0000"/>
          <w:sz w:val="24"/>
          <w:szCs w:val="24"/>
        </w:rPr>
      </w:pPr>
      <w:r w:rsidDel="00000000" w:rsidR="00000000" w:rsidRPr="00000000">
        <w:rPr>
          <w:rtl w:val="0"/>
        </w:rPr>
      </w:r>
    </w:p>
    <w:p w:rsidR="00000000" w:rsidDel="00000000" w:rsidP="00000000" w:rsidRDefault="00000000" w:rsidRPr="00000000" w14:paraId="0000002E">
      <w:pPr>
        <w:spacing w:line="240" w:lineRule="auto"/>
        <w:ind w:firstLine="720"/>
        <w:jc w:val="both"/>
        <w:rPr>
          <w:rFonts w:ascii="Times New Roman" w:cs="Times New Roman" w:eastAsia="Times New Roman" w:hAnsi="Times New Roman"/>
          <w:b w:val="1"/>
          <w:bCs w:val="1"/>
          <w:i w:val="1"/>
          <w:iCs w:val="1"/>
          <w:color w:val="ff0000"/>
          <w:sz w:val="24"/>
          <w:szCs w:val="24"/>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